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83D52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关于规范我旗畜禽屠宰管理</w:t>
      </w:r>
    </w:p>
    <w:p w14:paraId="4569D09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方正小标宋简体" w:cs="仿宋_GB2312"/>
          <w:sz w:val="32"/>
          <w:szCs w:val="32"/>
          <w:lang w:val="en-US" w:eastAsia="zh-CN"/>
        </w:rPr>
      </w:pPr>
      <w:r>
        <w:rPr>
          <w:rFonts w:hint="eastAsia" w:ascii="方正小标宋简体" w:hAnsi="方正小标宋简体" w:eastAsia="方正小标宋简体" w:cs="方正小标宋简体"/>
          <w:sz w:val="44"/>
          <w:szCs w:val="44"/>
        </w:rPr>
        <w:t>防范食品安全与动物防疫风险的</w:t>
      </w:r>
      <w:r>
        <w:rPr>
          <w:rFonts w:hint="eastAsia" w:ascii="方正小标宋简体" w:hAnsi="方正小标宋简体" w:eastAsia="方正小标宋简体" w:cs="方正小标宋简体"/>
          <w:sz w:val="44"/>
          <w:szCs w:val="44"/>
          <w:lang w:val="en-US" w:eastAsia="zh-CN"/>
        </w:rPr>
        <w:t>建议</w:t>
      </w:r>
    </w:p>
    <w:p w14:paraId="2F02242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王爷府镇代表团 杨素荣</w:t>
      </w:r>
    </w:p>
    <w:p w14:paraId="3835D69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建议</w:t>
      </w:r>
      <w:r>
        <w:rPr>
          <w:rFonts w:hint="eastAsia" w:ascii="黑体" w:hAnsi="黑体" w:eastAsia="黑体" w:cs="黑体"/>
          <w:sz w:val="32"/>
          <w:szCs w:val="32"/>
        </w:rPr>
        <w:t>背景</w:t>
      </w:r>
    </w:p>
    <w:p w14:paraId="4758831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2025年12月1日，《内蒙古自治区畜禽屠宰管理条例》正式实施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为规范畜禽屠宰行为、保障食品安全与动物防疫安全提供了明确的法律</w:t>
      </w:r>
      <w:r>
        <w:rPr>
          <w:rFonts w:hint="eastAsia" w:ascii="仿宋_GB2312" w:hAnsi="仿宋_GB2312" w:eastAsia="仿宋_GB2312" w:cs="仿宋_GB2312"/>
          <w:sz w:val="32"/>
          <w:szCs w:val="32"/>
          <w:lang w:val="en-US" w:eastAsia="zh-CN"/>
        </w:rPr>
        <w:t>依据。</w:t>
      </w:r>
      <w:r>
        <w:rPr>
          <w:rFonts w:hint="eastAsia" w:ascii="仿宋_GB2312" w:hAnsi="仿宋_GB2312" w:eastAsia="仿宋_GB2312" w:cs="仿宋_GB2312"/>
          <w:sz w:val="32"/>
          <w:szCs w:val="32"/>
        </w:rPr>
        <w:t>第四条明确规定：自治区实行畜禽定点屠宰、集中检疫制度。除农村牧区个人自宰自食的畜禽不实行定点屠宰外，任何单位和个人未经定点不得从事畜禽屠宰活动。在边远和交通不便的农村、牧区、林区，可以设置仅限于向本地市场供应畜禽产品的小型畜禽屠宰场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鼓励用于个人自食的畜禽在定点屠宰厂（场）进行屠宰。</w:t>
      </w:r>
      <w:r>
        <w:rPr>
          <w:rFonts w:hint="eastAsia" w:ascii="仿宋_GB2312" w:hAnsi="仿宋_GB2312" w:eastAsia="仿宋_GB2312" w:cs="仿宋_GB2312"/>
          <w:sz w:val="32"/>
          <w:szCs w:val="32"/>
          <w:lang w:val="en-US" w:eastAsia="zh-CN"/>
        </w:rPr>
        <w:t>调研中发现，《</w:t>
      </w:r>
      <w:r>
        <w:rPr>
          <w:rFonts w:hint="eastAsia" w:ascii="仿宋_GB2312" w:hAnsi="仿宋_GB2312" w:eastAsia="仿宋_GB2312" w:cs="仿宋_GB2312"/>
          <w:sz w:val="32"/>
          <w:szCs w:val="32"/>
        </w:rPr>
        <w:t>条例</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落地</w:t>
      </w:r>
      <w:r>
        <w:rPr>
          <w:rFonts w:hint="eastAsia" w:ascii="仿宋_GB2312" w:hAnsi="仿宋_GB2312" w:eastAsia="仿宋_GB2312" w:cs="仿宋_GB2312"/>
          <w:sz w:val="32"/>
          <w:szCs w:val="32"/>
          <w:lang w:val="en-US" w:eastAsia="zh-CN"/>
        </w:rPr>
        <w:t>实施过程</w:t>
      </w:r>
      <w:r>
        <w:rPr>
          <w:rFonts w:hint="eastAsia" w:ascii="仿宋_GB2312" w:hAnsi="仿宋_GB2312" w:eastAsia="仿宋_GB2312" w:cs="仿宋_GB2312"/>
          <w:sz w:val="32"/>
          <w:szCs w:val="32"/>
        </w:rPr>
        <w:t>中仍存在诸多突出问题，需进一步强化管理、补齐短板。</w:t>
      </w:r>
    </w:p>
    <w:p w14:paraId="0C5EE9F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二、存在的主要问题及风险隐患</w:t>
      </w:r>
    </w:p>
    <w:p w14:paraId="0708F58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（一）食品安全风险突出</w:t>
      </w:r>
    </w:p>
    <w:p w14:paraId="78DB0C5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到定点屠宰场屠宰的生猪，既无产地检疫证明，也未经官方兽医现场检疫，宰杀后未开展同步屠宰检疫及肉品品质检验，可能携带各类病菌、病毒及寄生虫，一旦进入食物链，对食用者极易引发食物中毒、传染病传播等公共卫生问题，直接危害群众身体健康。</w:t>
      </w:r>
    </w:p>
    <w:p w14:paraId="796B113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（二）动物防疫形势严峻</w:t>
      </w:r>
    </w:p>
    <w:p w14:paraId="2BAA014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未经检疫的生猪若</w:t>
      </w:r>
      <w:r>
        <w:rPr>
          <w:rFonts w:hint="eastAsia" w:ascii="仿宋_GB2312" w:hAnsi="仿宋_GB2312" w:eastAsia="仿宋_GB2312" w:cs="仿宋_GB2312"/>
          <w:sz w:val="32"/>
          <w:szCs w:val="32"/>
          <w:lang w:val="en-US" w:eastAsia="zh-CN"/>
        </w:rPr>
        <w:t>携带</w:t>
      </w:r>
      <w:r>
        <w:rPr>
          <w:rFonts w:hint="eastAsia" w:ascii="仿宋_GB2312" w:hAnsi="仿宋_GB2312" w:eastAsia="仿宋_GB2312" w:cs="仿宋_GB2312"/>
          <w:sz w:val="32"/>
          <w:szCs w:val="32"/>
        </w:rPr>
        <w:t>传染性疫病，极易在当地猪群中扩散蔓延，不仅会影响农村地区养猪产业的正常发展，还可能波及更大范围的畜禽养殖领域，给广大养殖户造成重大经济损失，</w:t>
      </w:r>
      <w:r>
        <w:rPr>
          <w:rFonts w:hint="eastAsia" w:ascii="仿宋_GB2312" w:hAnsi="仿宋_GB2312" w:eastAsia="仿宋_GB2312" w:cs="仿宋_GB2312"/>
          <w:sz w:val="32"/>
          <w:szCs w:val="32"/>
          <w:lang w:val="en-US" w:eastAsia="zh-CN"/>
        </w:rPr>
        <w:t>进而影响</w:t>
      </w:r>
      <w:r>
        <w:rPr>
          <w:rFonts w:hint="eastAsia" w:ascii="仿宋_GB2312" w:hAnsi="仿宋_GB2312" w:eastAsia="仿宋_GB2312" w:cs="仿宋_GB2312"/>
          <w:sz w:val="32"/>
          <w:szCs w:val="32"/>
        </w:rPr>
        <w:t>我旗畜禽养殖产业的</w:t>
      </w:r>
      <w:r>
        <w:rPr>
          <w:rFonts w:hint="eastAsia" w:ascii="仿宋_GB2312" w:hAnsi="仿宋_GB2312" w:eastAsia="仿宋_GB2312" w:cs="仿宋_GB2312"/>
          <w:sz w:val="32"/>
          <w:szCs w:val="32"/>
          <w:lang w:val="en-US" w:eastAsia="zh-CN"/>
        </w:rPr>
        <w:t>健康</w:t>
      </w:r>
      <w:r>
        <w:rPr>
          <w:rFonts w:hint="eastAsia" w:ascii="仿宋_GB2312" w:hAnsi="仿宋_GB2312" w:eastAsia="仿宋_GB2312" w:cs="仿宋_GB2312"/>
          <w:sz w:val="32"/>
          <w:szCs w:val="32"/>
        </w:rPr>
        <w:t>发展。同时私屠生猪未规范检疫检验，</w:t>
      </w:r>
      <w:r>
        <w:rPr>
          <w:rFonts w:hint="eastAsia" w:ascii="仿宋_GB2312" w:hAnsi="仿宋_GB2312" w:eastAsia="仿宋_GB2312" w:cs="仿宋_GB2312"/>
          <w:sz w:val="32"/>
          <w:szCs w:val="32"/>
          <w:lang w:val="en-US" w:eastAsia="zh-CN"/>
        </w:rPr>
        <w:t>难以</w:t>
      </w:r>
      <w:r>
        <w:rPr>
          <w:rFonts w:hint="eastAsia" w:ascii="仿宋_GB2312" w:hAnsi="仿宋_GB2312" w:eastAsia="仿宋_GB2312" w:cs="仿宋_GB2312"/>
          <w:sz w:val="32"/>
          <w:szCs w:val="32"/>
        </w:rPr>
        <w:t>早期发现和处置</w:t>
      </w:r>
      <w:r>
        <w:rPr>
          <w:rFonts w:hint="eastAsia" w:ascii="仿宋_GB2312" w:hAnsi="仿宋_GB2312" w:eastAsia="仿宋_GB2312" w:cs="仿宋_GB2312"/>
          <w:sz w:val="32"/>
          <w:szCs w:val="32"/>
          <w:lang w:val="en-US" w:eastAsia="zh-CN"/>
        </w:rPr>
        <w:t>疫病</w:t>
      </w:r>
      <w:r>
        <w:rPr>
          <w:rFonts w:hint="eastAsia" w:ascii="仿宋_GB2312" w:hAnsi="仿宋_GB2312" w:eastAsia="仿宋_GB2312" w:cs="仿宋_GB2312"/>
          <w:sz w:val="32"/>
          <w:szCs w:val="32"/>
        </w:rPr>
        <w:t>，加剧了动物疫情传播风险。</w:t>
      </w:r>
    </w:p>
    <w:p w14:paraId="691AC08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（三）违法违规成本明确但监管存在难点</w:t>
      </w:r>
    </w:p>
    <w:p w14:paraId="4AF8557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生产经营未按规定检疫或检疫不合格的肉类，以及未经检验或检验不合格的肉类制品，已违反《中华人民共和国食品安全法》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面临严厉处罚。</w:t>
      </w:r>
      <w:r>
        <w:rPr>
          <w:rFonts w:hint="eastAsia" w:ascii="仿宋_GB2312" w:hAnsi="仿宋_GB2312" w:eastAsia="仿宋_GB2312" w:cs="仿宋_GB2312"/>
          <w:sz w:val="32"/>
          <w:szCs w:val="32"/>
        </w:rPr>
        <w:t>当前我旗屠宰点覆盖范围有限，尤其在年节期间，农村地区私屠家猪的情况时有发生，农户自家无法消耗的剩余猪肉流入市场，形成监管盲区。此类私屠行为操作时间不固定，销售方式多为流动售卖或熟人介绍推广，常规巡查难以全面覆盖；加之部分消费者缺乏有效的鉴别意识，导致该问题在农村集市等区域偶有出现，且一旦发生食品安全事故，溯源难度极大。</w:t>
      </w:r>
    </w:p>
    <w:p w14:paraId="5D9C2A3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（四）小型畜禽屠宰场点管理缺乏明确标准</w:t>
      </w:r>
    </w:p>
    <w:p w14:paraId="39365FA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《内蒙古自治区畜禽屠宰管理条例》明确小型畜禽屠宰场点的管理由自治区人民政府农牧主管部门具体负责，但目前尚未出台配套的具体管理要求和相关标准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导致我旗在边远、交通不便区域规划设置小型屠宰场点时，缺乏明确的选址、设施、检疫流程、运营管理等依据，既不利于合理布局补充屠宰资源、破解覆盖不足问题，也可能因管理无据导致小型屠宰场点出现合规性风险，难以充分发挥其服务本地市场、防范私屠滥宰的作用。</w:t>
      </w:r>
    </w:p>
    <w:p w14:paraId="36C9E1CC">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具体建议</w:t>
      </w:r>
    </w:p>
    <w:p w14:paraId="5D4C66E9">
      <w:pPr>
        <w:keepNext w:val="0"/>
        <w:keepLines w:val="0"/>
        <w:pageBreakBefore w:val="0"/>
        <w:widowControl w:val="0"/>
        <w:numPr>
          <w:numId w:val="0"/>
        </w:numPr>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rPr>
        <w:t>建立联合执法机制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定期开展农村地区畜禽屠宰专项整治行动，重点查处私屠滥宰、未经检疫猪肉流入市场等违法行为。</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出台奖补政策，</w:t>
      </w:r>
      <w:r>
        <w:rPr>
          <w:rFonts w:hint="eastAsia" w:ascii="仿宋_GB2312" w:hAnsi="仿宋_GB2312" w:eastAsia="仿宋_GB2312" w:cs="仿宋_GB2312"/>
          <w:sz w:val="32"/>
          <w:szCs w:val="32"/>
        </w:rPr>
        <w:t>加快</w:t>
      </w:r>
      <w:r>
        <w:rPr>
          <w:rFonts w:hint="eastAsia" w:ascii="仿宋_GB2312" w:hAnsi="仿宋_GB2312" w:eastAsia="仿宋_GB2312" w:cs="仿宋_GB2312"/>
          <w:sz w:val="32"/>
          <w:szCs w:val="32"/>
          <w:lang w:val="en-US" w:eastAsia="zh-CN"/>
        </w:rPr>
        <w:t>推进</w:t>
      </w:r>
      <w:r>
        <w:rPr>
          <w:rFonts w:hint="eastAsia" w:ascii="仿宋_GB2312" w:hAnsi="仿宋_GB2312" w:eastAsia="仿宋_GB2312" w:cs="仿宋_GB2312"/>
          <w:sz w:val="32"/>
          <w:szCs w:val="32"/>
        </w:rPr>
        <w:t>小型屠宰场点</w:t>
      </w:r>
      <w:r>
        <w:rPr>
          <w:rFonts w:hint="eastAsia" w:ascii="仿宋_GB2312" w:hAnsi="仿宋_GB2312" w:eastAsia="仿宋_GB2312" w:cs="仿宋_GB2312"/>
          <w:sz w:val="32"/>
          <w:szCs w:val="32"/>
          <w:lang w:val="en-US" w:eastAsia="zh-CN"/>
        </w:rPr>
        <w:t>建设。一是</w:t>
      </w:r>
      <w:r>
        <w:rPr>
          <w:rFonts w:hint="eastAsia" w:ascii="仿宋_GB2312" w:hAnsi="仿宋_GB2312" w:eastAsia="仿宋_GB2312" w:cs="仿宋_GB2312"/>
          <w:sz w:val="32"/>
          <w:szCs w:val="32"/>
        </w:rPr>
        <w:t>结合我旗实际，</w:t>
      </w:r>
      <w:r>
        <w:rPr>
          <w:rFonts w:hint="eastAsia" w:ascii="仿宋_GB2312" w:hAnsi="仿宋_GB2312" w:eastAsia="仿宋_GB2312" w:cs="仿宋_GB2312"/>
          <w:sz w:val="32"/>
          <w:szCs w:val="32"/>
          <w:lang w:val="en-US" w:eastAsia="zh-CN"/>
        </w:rPr>
        <w:t>根据全旗集贸市场出售生猪产品数量，</w:t>
      </w:r>
      <w:r>
        <w:rPr>
          <w:rFonts w:hint="eastAsia" w:ascii="仿宋_GB2312" w:hAnsi="仿宋_GB2312" w:eastAsia="仿宋_GB2312" w:cs="仿宋_GB2312"/>
          <w:sz w:val="32"/>
          <w:szCs w:val="32"/>
        </w:rPr>
        <w:t>合理布局</w:t>
      </w:r>
      <w:r>
        <w:rPr>
          <w:rFonts w:hint="eastAsia" w:ascii="仿宋_GB2312" w:hAnsi="仿宋_GB2312" w:eastAsia="仿宋_GB2312" w:cs="仿宋_GB2312"/>
          <w:sz w:val="32"/>
          <w:szCs w:val="32"/>
          <w:lang w:val="en-US" w:eastAsia="zh-CN"/>
        </w:rPr>
        <w:t>规划小型生猪屠宰</w:t>
      </w:r>
      <w:r>
        <w:rPr>
          <w:rFonts w:hint="eastAsia" w:ascii="仿宋_GB2312" w:hAnsi="仿宋_GB2312" w:eastAsia="仿宋_GB2312" w:cs="仿宋_GB2312"/>
          <w:sz w:val="32"/>
          <w:szCs w:val="32"/>
        </w:rPr>
        <w:t>场点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针对</w:t>
      </w:r>
      <w:r>
        <w:rPr>
          <w:rFonts w:hint="eastAsia" w:ascii="仿宋_GB2312" w:hAnsi="仿宋_GB2312" w:eastAsia="仿宋_GB2312" w:cs="仿宋_GB2312"/>
          <w:sz w:val="32"/>
          <w:szCs w:val="32"/>
        </w:rPr>
        <w:t>边远、交通不便区域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科学规划设置</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小型屠宰场点，明确其服务本地市场的定位，严禁跨区域销售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对到定点屠宰场屠宰的经营户给予适度补贴。</w:t>
      </w:r>
      <w:r>
        <w:rPr>
          <w:rFonts w:hint="eastAsia" w:ascii="仿宋_GB2312" w:hAnsi="仿宋_GB2312" w:eastAsia="仿宋_GB2312" w:cs="仿宋_GB2312"/>
          <w:b/>
          <w:bCs/>
          <w:sz w:val="32"/>
          <w:szCs w:val="32"/>
          <w:lang w:val="en-US" w:eastAsia="zh-CN"/>
        </w:rPr>
        <w:t>五是</w:t>
      </w:r>
      <w:r>
        <w:rPr>
          <w:rFonts w:hint="eastAsia" w:ascii="仿宋_GB2312" w:hAnsi="仿宋_GB2312" w:eastAsia="仿宋_GB2312" w:cs="仿宋_GB2312"/>
          <w:sz w:val="32"/>
          <w:szCs w:val="32"/>
          <w:lang w:val="en-US" w:eastAsia="zh-CN"/>
        </w:rPr>
        <w:t>建议旗政府</w:t>
      </w:r>
      <w:r>
        <w:rPr>
          <w:rFonts w:hint="eastAsia" w:ascii="仿宋_GB2312" w:hAnsi="仿宋_GB2312" w:eastAsia="仿宋_GB2312" w:cs="仿宋_GB2312"/>
          <w:sz w:val="32"/>
          <w:szCs w:val="32"/>
        </w:rPr>
        <w:t>设立屠宰监管专项经费，用于执法装备升级、检疫人员培训</w:t>
      </w:r>
      <w:r>
        <w:rPr>
          <w:rFonts w:hint="eastAsia" w:ascii="仿宋_GB2312" w:hAnsi="仿宋_GB2312" w:eastAsia="仿宋_GB2312" w:cs="仿宋_GB2312"/>
          <w:sz w:val="32"/>
          <w:szCs w:val="32"/>
          <w:lang w:val="en-US" w:eastAsia="zh-CN"/>
        </w:rPr>
        <w:t>等支出</w:t>
      </w:r>
      <w:r>
        <w:rPr>
          <w:rFonts w:hint="eastAsia" w:ascii="仿宋_GB2312" w:hAnsi="仿宋_GB2312" w:eastAsia="仿宋_GB2312" w:cs="仿宋_GB2312"/>
          <w:sz w:val="32"/>
          <w:szCs w:val="32"/>
        </w:rPr>
        <w:t>，保障监管工作长效运行</w:t>
      </w:r>
      <w:r>
        <w:rPr>
          <w:rFonts w:hint="eastAsia" w:ascii="仿宋_GB2312" w:hAnsi="仿宋_GB2312" w:eastAsia="仿宋_GB2312" w:cs="仿宋_GB2312"/>
          <w:sz w:val="32"/>
          <w:szCs w:val="32"/>
          <w:lang w:eastAsia="zh-CN"/>
        </w:rPr>
        <w:t>。</w:t>
      </w:r>
    </w:p>
    <w:p w14:paraId="442F9EC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p>
    <w:p w14:paraId="31CC3D0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p>
    <w:p w14:paraId="0573D0D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p>
    <w:p w14:paraId="644BB82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p>
    <w:p w14:paraId="53A82A4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A22865E-C5D9-46EC-B289-FCEB96F37C3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C174280-DF51-4C86-A5B4-CEA0CCC58EBC}"/>
  </w:font>
  <w:font w:name="方正小标宋简体">
    <w:panose1 w:val="02000000000000000000"/>
    <w:charset w:val="86"/>
    <w:family w:val="auto"/>
    <w:pitch w:val="default"/>
    <w:sig w:usb0="00000001" w:usb1="080E0000" w:usb2="00000000" w:usb3="00000000" w:csb0="00040000" w:csb1="00000000"/>
    <w:embedRegular r:id="rId3" w:fontKey="{3AE9B261-D206-41AC-9753-6E7A592874A4}"/>
  </w:font>
  <w:font w:name="仿宋_GB2312">
    <w:panose1 w:val="02010609030101010101"/>
    <w:charset w:val="86"/>
    <w:family w:val="auto"/>
    <w:pitch w:val="default"/>
    <w:sig w:usb0="00000001" w:usb1="080E0000" w:usb2="00000000" w:usb3="00000000" w:csb0="00040000" w:csb1="00000000"/>
    <w:embedRegular r:id="rId4" w:fontKey="{BCF4DB88-197E-46B5-9E3C-5F57DA49DF95}"/>
  </w:font>
  <w:font w:name="楷体">
    <w:panose1 w:val="02010609060101010101"/>
    <w:charset w:val="86"/>
    <w:family w:val="auto"/>
    <w:pitch w:val="default"/>
    <w:sig w:usb0="800002BF" w:usb1="38CF7CFA" w:usb2="00000016" w:usb3="00000000" w:csb0="00040001" w:csb1="00000000"/>
    <w:embedRegular r:id="rId5" w:fontKey="{4AFF31E0-BC3F-4465-B78E-0995122085F5}"/>
  </w:font>
  <w:font w:name="楷体_GB2312">
    <w:panose1 w:val="02010609030101010101"/>
    <w:charset w:val="86"/>
    <w:family w:val="auto"/>
    <w:pitch w:val="default"/>
    <w:sig w:usb0="00000001" w:usb1="080E0000" w:usb2="00000000" w:usb3="00000000" w:csb0="00040000" w:csb1="00000000"/>
    <w:embedRegular r:id="rId6" w:fontKey="{15BBA5E7-8A94-47DE-BE1A-131183D67B0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510F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D2C0763">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D2C0763">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91264">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059B59"/>
    <w:multiLevelType w:val="singleLevel"/>
    <w:tmpl w:val="06059B5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041579"/>
    <w:rsid w:val="0D4029FE"/>
    <w:rsid w:val="1940113B"/>
    <w:rsid w:val="29E026E3"/>
    <w:rsid w:val="2E0E7F76"/>
    <w:rsid w:val="4F041579"/>
    <w:rsid w:val="5282501F"/>
    <w:rsid w:val="55A2658D"/>
    <w:rsid w:val="63B215C4"/>
    <w:rsid w:val="741451FF"/>
    <w:rsid w:val="7C931772"/>
    <w:rsid w:val="7FBC0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1267</Words>
  <Characters>1275</Characters>
  <Lines>0</Lines>
  <Paragraphs>0</Paragraphs>
  <TotalTime>86</TotalTime>
  <ScaleCrop>false</ScaleCrop>
  <LinksUpToDate>false</LinksUpToDate>
  <CharactersWithSpaces>1304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2026-01-23T08:30:00Z</dcterms:created>
  <dc:creator>波涔1407115896</dc:creator>
  <cp:lastModifiedBy>朱姗姗</cp:lastModifiedBy>
  <dcterms:modified xsi:type="dcterms:W3CDTF">2026-02-02T05:37:11Z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373EAC038CF0464ABDD566F526EE4818_13</vt:lpwstr>
  </property>
  <property fmtid="{D5CDD505-2E9C-101B-9397-08002B2CF9AE}" pid="4" name="KSOTemplateDocerSaveRecord">
    <vt:lpwstr>eyJoZGlkIjoiZTA4NzIyN2MxYTlmMzQ1NGE2MjU5NWRkMjhlOGMxYTAiLCJ1c2VySWQiOiI1NDQxNDQ4NTEifQ==</vt:lpwstr>
  </property>
</Properties>
</file>